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6C8" w:rsidRDefault="004566C8" w:rsidP="004566C8">
      <w:pPr>
        <w:pStyle w:val="1"/>
      </w:pPr>
      <w:r>
        <w:t>(557-98-2)2-氯丙烯的理化及危险特性表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4566C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566C8" w:rsidRDefault="004566C8" w:rsidP="0090435F">
            <w:pPr>
              <w:spacing w:line="248" w:lineRule="exact"/>
              <w:jc w:val="center"/>
              <w:rPr>
                <w:rFonts w:ascii="宋体" w:hAnsi="宋体"/>
              </w:rPr>
            </w:pPr>
            <w:r>
              <w:rPr>
                <w:rFonts w:ascii="宋体" w:hAnsi="宋体" w:hint="eastAsia"/>
              </w:rPr>
              <w:t>标</w:t>
            </w:r>
          </w:p>
          <w:p w:rsidR="004566C8" w:rsidRDefault="004566C8" w:rsidP="0090435F">
            <w:pPr>
              <w:spacing w:line="248"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中文名:</w:t>
            </w:r>
            <w:r>
              <w:rPr>
                <w:rFonts w:ascii="宋体" w:hAnsi="宋体" w:hint="eastAsia"/>
                <w:szCs w:val="18"/>
              </w:rPr>
              <w:t xml:space="preserve"> 2-氯丙烯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英文名:</w:t>
            </w:r>
            <w:r>
              <w:rPr>
                <w:rFonts w:ascii="宋体" w:hAnsi="宋体" w:hint="eastAsia"/>
                <w:szCs w:val="18"/>
              </w:rPr>
              <w:t xml:space="preserve"> 2-chloropropene </w:t>
            </w:r>
          </w:p>
        </w:tc>
      </w:tr>
      <w:tr w:rsidR="004566C8" w:rsidTr="0090435F">
        <w:trPr>
          <w:cantSplit/>
          <w:jc w:val="center"/>
        </w:trPr>
        <w:tc>
          <w:tcPr>
            <w:tcW w:w="489" w:type="dxa"/>
            <w:vMerge/>
            <w:tcBorders>
              <w:left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5</w:t>
            </w:r>
            <w:r>
              <w:rPr>
                <w:rFonts w:ascii="宋体" w:hAnsi="宋体" w:hint="eastAsia"/>
                <w:szCs w:val="18"/>
              </w:rPr>
              <w:t>Cl</w:t>
            </w:r>
          </w:p>
        </w:tc>
        <w:tc>
          <w:tcPr>
            <w:tcW w:w="2696"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color w:val="FF6600"/>
              </w:rPr>
            </w:pPr>
            <w:r>
              <w:rPr>
                <w:rFonts w:ascii="宋体" w:hAnsi="宋体" w:hint="eastAsia"/>
              </w:rPr>
              <w:t>分子量：76.53</w:t>
            </w:r>
          </w:p>
        </w:tc>
        <w:tc>
          <w:tcPr>
            <w:tcW w:w="2170"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UN编号：2456</w:t>
            </w:r>
          </w:p>
        </w:tc>
      </w:tr>
      <w:tr w:rsidR="004566C8" w:rsidTr="0090435F">
        <w:trPr>
          <w:cantSplit/>
          <w:jc w:val="center"/>
        </w:trPr>
        <w:tc>
          <w:tcPr>
            <w:tcW w:w="489" w:type="dxa"/>
            <w:vMerge/>
            <w:tcBorders>
              <w:left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危规号： 31021</w:t>
            </w:r>
          </w:p>
        </w:tc>
        <w:tc>
          <w:tcPr>
            <w:tcW w:w="2170"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CAS号：557-98-2</w:t>
            </w:r>
          </w:p>
        </w:tc>
      </w:tr>
      <w:tr w:rsidR="004566C8" w:rsidTr="0090435F">
        <w:trPr>
          <w:cantSplit/>
          <w:jc w:val="center"/>
        </w:trPr>
        <w:tc>
          <w:tcPr>
            <w:tcW w:w="489" w:type="dxa"/>
            <w:vMerge/>
            <w:tcBorders>
              <w:left w:val="single" w:sz="4" w:space="0" w:color="auto"/>
              <w:bottom w:val="nil"/>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 xml:space="preserve">包装类别：Ⅰ类 </w:t>
            </w:r>
          </w:p>
        </w:tc>
      </w:tr>
      <w:tr w:rsidR="004566C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r>
              <w:rPr>
                <w:rFonts w:ascii="宋体" w:hAnsi="宋体" w:hint="eastAsia"/>
              </w:rPr>
              <w:t>理</w:t>
            </w:r>
          </w:p>
          <w:p w:rsidR="004566C8" w:rsidRDefault="004566C8" w:rsidP="0090435F">
            <w:pPr>
              <w:spacing w:line="248" w:lineRule="exact"/>
              <w:jc w:val="center"/>
              <w:rPr>
                <w:rFonts w:ascii="宋体" w:hAnsi="宋体"/>
              </w:rPr>
            </w:pPr>
            <w:r>
              <w:rPr>
                <w:rFonts w:ascii="宋体" w:hAnsi="宋体" w:hint="eastAsia"/>
              </w:rPr>
              <w:t>化</w:t>
            </w:r>
          </w:p>
          <w:p w:rsidR="004566C8" w:rsidRDefault="004566C8" w:rsidP="0090435F">
            <w:pPr>
              <w:spacing w:line="248" w:lineRule="exact"/>
              <w:jc w:val="center"/>
              <w:rPr>
                <w:rFonts w:ascii="宋体" w:hAnsi="宋体"/>
              </w:rPr>
            </w:pPr>
            <w:r>
              <w:rPr>
                <w:rFonts w:ascii="宋体" w:hAnsi="宋体" w:hint="eastAsia"/>
              </w:rPr>
              <w:t>性</w:t>
            </w:r>
          </w:p>
          <w:p w:rsidR="004566C8" w:rsidRDefault="004566C8" w:rsidP="0090435F">
            <w:pPr>
              <w:spacing w:line="248"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外观与性状：</w:t>
            </w:r>
            <w:r>
              <w:rPr>
                <w:rFonts w:ascii="宋体" w:hAnsi="宋体" w:hint="eastAsia"/>
                <w:szCs w:val="18"/>
              </w:rPr>
              <w:t>无色液体。</w:t>
            </w:r>
          </w:p>
        </w:tc>
      </w:tr>
      <w:tr w:rsidR="004566C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溶解性 ：</w:t>
            </w:r>
            <w:r>
              <w:rPr>
                <w:rFonts w:ascii="宋体" w:hAnsi="宋体" w:hint="eastAsia"/>
                <w:szCs w:val="18"/>
              </w:rPr>
              <w:t>不溶于水，溶于乙醇、乙醚等多数有机溶剂。</w:t>
            </w:r>
          </w:p>
        </w:tc>
      </w:tr>
      <w:tr w:rsidR="004566C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熔点（℃）：</w:t>
            </w:r>
            <w:r>
              <w:rPr>
                <w:rFonts w:ascii="宋体" w:hAnsi="宋体" w:hint="eastAsia"/>
                <w:szCs w:val="18"/>
              </w:rPr>
              <w:t>-138.6</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沸点（℃）：</w:t>
            </w:r>
            <w:r>
              <w:rPr>
                <w:rFonts w:ascii="宋体" w:hAnsi="宋体" w:hint="eastAsia"/>
                <w:szCs w:val="18"/>
              </w:rPr>
              <w:t>22.5</w:t>
            </w:r>
          </w:p>
        </w:tc>
      </w:tr>
      <w:tr w:rsidR="004566C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相对密度（水＝1）：</w:t>
            </w:r>
            <w:r>
              <w:rPr>
                <w:rFonts w:ascii="宋体" w:hAnsi="宋体" w:hint="eastAsia"/>
                <w:szCs w:val="18"/>
              </w:rPr>
              <w:t>0.90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相对密度（空气＝1）：</w:t>
            </w:r>
            <w:r>
              <w:rPr>
                <w:rFonts w:ascii="宋体" w:hAnsi="宋体" w:hint="eastAsia"/>
                <w:szCs w:val="18"/>
              </w:rPr>
              <w:t>2.63</w:t>
            </w:r>
          </w:p>
        </w:tc>
      </w:tr>
      <w:tr w:rsidR="004566C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燃烧热（kJ/mol）：</w:t>
            </w:r>
            <w:r>
              <w:rPr>
                <w:rFonts w:ascii="宋体" w:hAnsi="宋体" w:hint="eastAsia"/>
                <w:szCs w:val="18"/>
              </w:rPr>
              <w:t>无资料</w:t>
            </w:r>
          </w:p>
        </w:tc>
      </w:tr>
      <w:tr w:rsidR="004566C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临界压力（MPa）：</w:t>
            </w:r>
          </w:p>
        </w:tc>
      </w:tr>
      <w:tr w:rsidR="004566C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4566C8" w:rsidRDefault="004566C8" w:rsidP="0090435F">
            <w:pPr>
              <w:spacing w:line="248" w:lineRule="exact"/>
              <w:jc w:val="center"/>
              <w:rPr>
                <w:rFonts w:ascii="宋体" w:hAnsi="宋体"/>
              </w:rPr>
            </w:pPr>
            <w:r>
              <w:rPr>
                <w:rFonts w:ascii="宋体" w:hAnsi="宋体" w:hint="eastAsia"/>
              </w:rPr>
              <w:t>燃</w:t>
            </w:r>
          </w:p>
          <w:p w:rsidR="004566C8" w:rsidRDefault="004566C8" w:rsidP="0090435F">
            <w:pPr>
              <w:spacing w:line="248" w:lineRule="exact"/>
              <w:jc w:val="center"/>
              <w:rPr>
                <w:rFonts w:ascii="宋体" w:hAnsi="宋体"/>
              </w:rPr>
            </w:pPr>
            <w:r>
              <w:rPr>
                <w:rFonts w:ascii="宋体" w:hAnsi="宋体" w:hint="eastAsia"/>
              </w:rPr>
              <w:t>烧</w:t>
            </w:r>
          </w:p>
          <w:p w:rsidR="004566C8" w:rsidRDefault="004566C8" w:rsidP="0090435F">
            <w:pPr>
              <w:spacing w:line="248" w:lineRule="exact"/>
              <w:jc w:val="center"/>
              <w:rPr>
                <w:rFonts w:ascii="宋体" w:hAnsi="宋体"/>
              </w:rPr>
            </w:pPr>
            <w:r>
              <w:rPr>
                <w:rFonts w:ascii="宋体" w:hAnsi="宋体" w:hint="eastAsia"/>
              </w:rPr>
              <w:t>爆</w:t>
            </w:r>
          </w:p>
          <w:p w:rsidR="004566C8" w:rsidRDefault="004566C8" w:rsidP="0090435F">
            <w:pPr>
              <w:spacing w:line="248" w:lineRule="exact"/>
              <w:jc w:val="center"/>
              <w:rPr>
                <w:rFonts w:ascii="宋体" w:hAnsi="宋体"/>
              </w:rPr>
            </w:pPr>
            <w:r>
              <w:rPr>
                <w:rFonts w:ascii="宋体" w:hAnsi="宋体" w:hint="eastAsia"/>
              </w:rPr>
              <w:t>炸</w:t>
            </w:r>
          </w:p>
          <w:p w:rsidR="004566C8" w:rsidRDefault="004566C8" w:rsidP="0090435F">
            <w:pPr>
              <w:spacing w:line="248" w:lineRule="exact"/>
              <w:jc w:val="center"/>
              <w:rPr>
                <w:rFonts w:ascii="宋体" w:hAnsi="宋体"/>
              </w:rPr>
            </w:pPr>
            <w:r>
              <w:rPr>
                <w:rFonts w:ascii="宋体" w:hAnsi="宋体" w:hint="eastAsia"/>
              </w:rPr>
              <w:t>危</w:t>
            </w:r>
          </w:p>
          <w:p w:rsidR="004566C8" w:rsidRDefault="004566C8" w:rsidP="0090435F">
            <w:pPr>
              <w:spacing w:line="248" w:lineRule="exact"/>
              <w:jc w:val="center"/>
              <w:rPr>
                <w:rFonts w:ascii="宋体" w:hAnsi="宋体"/>
              </w:rPr>
            </w:pPr>
            <w:r>
              <w:rPr>
                <w:rFonts w:ascii="宋体" w:hAnsi="宋体" w:hint="eastAsia"/>
              </w:rPr>
              <w:t>险</w:t>
            </w:r>
          </w:p>
          <w:p w:rsidR="004566C8" w:rsidRDefault="004566C8" w:rsidP="0090435F">
            <w:pPr>
              <w:spacing w:line="248"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闪点（℃）： -34</w:t>
            </w:r>
          </w:p>
        </w:tc>
      </w:tr>
      <w:tr w:rsidR="004566C8" w:rsidTr="0090435F">
        <w:trPr>
          <w:cantSplit/>
          <w:jc w:val="center"/>
        </w:trPr>
        <w:tc>
          <w:tcPr>
            <w:tcW w:w="489" w:type="dxa"/>
            <w:vMerge/>
            <w:tcBorders>
              <w:top w:val="single" w:sz="4" w:space="0" w:color="auto"/>
              <w:left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vertAlign w:val="superscript"/>
              </w:rPr>
            </w:pPr>
            <w:r>
              <w:rPr>
                <w:rFonts w:ascii="宋体" w:hAnsi="宋体" w:hint="eastAsia"/>
              </w:rPr>
              <w:t>爆炸下限（%）：</w:t>
            </w:r>
            <w:r>
              <w:rPr>
                <w:rFonts w:ascii="宋体" w:hAnsi="宋体" w:hint="eastAsia"/>
                <w:szCs w:val="18"/>
              </w:rPr>
              <w:t>4.5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 xml:space="preserve">爆炸上限（%）：16.0 </w:t>
            </w:r>
          </w:p>
        </w:tc>
      </w:tr>
      <w:tr w:rsidR="004566C8" w:rsidTr="0090435F">
        <w:trPr>
          <w:cantSplit/>
          <w:jc w:val="center"/>
        </w:trPr>
        <w:tc>
          <w:tcPr>
            <w:tcW w:w="489" w:type="dxa"/>
            <w:vMerge/>
            <w:tcBorders>
              <w:top w:val="single" w:sz="4" w:space="0" w:color="auto"/>
              <w:left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最小点火能（mJ）：</w:t>
            </w:r>
            <w:r>
              <w:rPr>
                <w:rFonts w:ascii="宋体" w:hAnsi="宋体" w:hint="eastAsia"/>
                <w:szCs w:val="18"/>
              </w:rPr>
              <w:t>无资料</w:t>
            </w:r>
          </w:p>
        </w:tc>
      </w:tr>
      <w:tr w:rsidR="004566C8" w:rsidTr="0090435F">
        <w:trPr>
          <w:cantSplit/>
          <w:jc w:val="center"/>
        </w:trPr>
        <w:tc>
          <w:tcPr>
            <w:tcW w:w="489" w:type="dxa"/>
            <w:vMerge/>
            <w:tcBorders>
              <w:left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 xml:space="preserve">稳定性：稳定 </w:t>
            </w:r>
          </w:p>
        </w:tc>
      </w:tr>
      <w:tr w:rsidR="004566C8" w:rsidTr="0090435F">
        <w:trPr>
          <w:cantSplit/>
          <w:jc w:val="center"/>
        </w:trPr>
        <w:tc>
          <w:tcPr>
            <w:tcW w:w="489" w:type="dxa"/>
            <w:vMerge/>
            <w:tcBorders>
              <w:left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 xml:space="preserve">聚合危害：聚合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燃烧分解产物：</w:t>
            </w:r>
            <w:r>
              <w:rPr>
                <w:rFonts w:ascii="宋体" w:hAnsi="宋体" w:hint="eastAsia"/>
                <w:szCs w:val="18"/>
              </w:rPr>
              <w:t>一氧化碳、二氧化碳、氯化氢。</w:t>
            </w:r>
          </w:p>
        </w:tc>
      </w:tr>
      <w:tr w:rsidR="004566C8" w:rsidTr="0090435F">
        <w:trPr>
          <w:cantSplit/>
          <w:jc w:val="center"/>
        </w:trPr>
        <w:tc>
          <w:tcPr>
            <w:tcW w:w="489" w:type="dxa"/>
            <w:vMerge/>
            <w:tcBorders>
              <w:left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color w:val="000000"/>
              </w:rPr>
              <w:t>禁忌物：</w:t>
            </w:r>
            <w:r>
              <w:rPr>
                <w:rFonts w:ascii="宋体" w:hAnsi="宋体" w:hint="eastAsia"/>
                <w:szCs w:val="18"/>
              </w:rPr>
              <w:t>强氧化剂、酸类、碱。</w:t>
            </w:r>
          </w:p>
        </w:tc>
      </w:tr>
      <w:tr w:rsidR="004566C8" w:rsidTr="0090435F">
        <w:trPr>
          <w:cantSplit/>
          <w:jc w:val="center"/>
        </w:trPr>
        <w:tc>
          <w:tcPr>
            <w:tcW w:w="489" w:type="dxa"/>
            <w:vMerge/>
            <w:tcBorders>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或与氧化剂接触，有引起燃烧爆炸的危险。本品遇火焰或受热会发生分解，产生剧毒的光气和腐蚀性的氯化氢气体。在火场高温下，能发生聚合放热，使容器破裂。遇酸性催化剂如路易斯催化剂、齐格勒催化剂、硫酸、氯化铁、氯化铝等都能产生猛烈聚合，放出大量热量。其蒸气比空气重，能在较低处扩散到相当远的地方，遇火源会着火回燃。对很多金属尤其是潮湿空气存在下有腐蚀性。</w:t>
            </w:r>
          </w:p>
        </w:tc>
      </w:tr>
      <w:tr w:rsidR="004566C8" w:rsidTr="0090435F">
        <w:trPr>
          <w:cantSplit/>
          <w:jc w:val="center"/>
        </w:trPr>
        <w:tc>
          <w:tcPr>
            <w:tcW w:w="489" w:type="dxa"/>
            <w:vMerge/>
            <w:tcBorders>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4566C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r>
              <w:rPr>
                <w:rFonts w:ascii="宋体" w:hAnsi="宋体" w:hint="eastAsia"/>
              </w:rPr>
              <w:t>毒</w:t>
            </w:r>
          </w:p>
          <w:p w:rsidR="004566C8" w:rsidRDefault="004566C8" w:rsidP="0090435F">
            <w:pPr>
              <w:spacing w:line="248"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4566C8" w:rsidRDefault="004566C8"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267000 mg/m3(小鼠吸入)</w:t>
            </w:r>
          </w:p>
        </w:tc>
      </w:tr>
      <w:tr w:rsidR="004566C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4566C8" w:rsidRDefault="004566C8" w:rsidP="0090435F">
            <w:pPr>
              <w:spacing w:line="248"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侵入途经：吸入、食入、经皮吸收。</w:t>
            </w:r>
          </w:p>
        </w:tc>
      </w:tr>
      <w:tr w:rsidR="004566C8"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szCs w:val="18"/>
              </w:rPr>
              <w:t>本品具有强烈刺激性。高浓度严重损害粘膜、上呼吸道、眼睛和皮肤。接触后引起烧灼感、咳嗽、喘息、喉炎、气短、头痛、恶心和呕吐。 </w:t>
            </w:r>
          </w:p>
        </w:tc>
      </w:tr>
      <w:tr w:rsidR="004566C8" w:rsidTr="0090435F">
        <w:trPr>
          <w:cantSplit/>
          <w:jc w:val="center"/>
        </w:trPr>
        <w:tc>
          <w:tcPr>
            <w:tcW w:w="489" w:type="dxa"/>
            <w:tcBorders>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r>
              <w:rPr>
                <w:rFonts w:ascii="宋体" w:hAnsi="宋体" w:hint="eastAsia"/>
              </w:rPr>
              <w:t>急</w:t>
            </w:r>
          </w:p>
          <w:p w:rsidR="004566C8" w:rsidRDefault="004566C8" w:rsidP="0090435F">
            <w:pPr>
              <w:spacing w:line="248"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皮肤接触</w:t>
            </w:r>
            <w:r>
              <w:rPr>
                <w:rFonts w:ascii="宋体" w:hAnsi="宋体" w:hint="eastAsia"/>
                <w:szCs w:val="18"/>
              </w:rPr>
              <w:t>: 立即脱去污染的衣着，用大量流动清水冲洗至少15分钟。就医。   ※眼睛接触：立即提起眼睑，用大量流动清水或生理盐水彻底冲洗至少15分钟。就医。      ※吸入：迅速脱离现场至空气新鲜处。保持呼吸道通畅。如呼吸困难，给输氧。如呼吸停止，立即进行人工呼吸。就医。   ※食入：饮足量温水，催吐。就医。</w:t>
            </w:r>
          </w:p>
        </w:tc>
      </w:tr>
      <w:tr w:rsidR="004566C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r>
              <w:rPr>
                <w:rFonts w:ascii="宋体" w:hAnsi="宋体" w:hint="eastAsia"/>
              </w:rPr>
              <w:t>防</w:t>
            </w:r>
          </w:p>
          <w:p w:rsidR="004566C8" w:rsidRDefault="004566C8" w:rsidP="0090435F">
            <w:pPr>
              <w:spacing w:line="248"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w:t>
            </w:r>
            <w:r>
              <w:rPr>
                <w:rFonts w:ascii="_x000B__x000C_" w:hAnsi="_x000B__x000C_" w:hint="eastAsia"/>
                <w:szCs w:val="18"/>
              </w:rPr>
              <w:t>工作现场禁止吸烟、进食和饮水。工作完毕，淋浴更衣。注意个人清洁卫生。</w:t>
            </w:r>
          </w:p>
        </w:tc>
      </w:tr>
      <w:tr w:rsidR="004566C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jc w:val="center"/>
              <w:rPr>
                <w:rFonts w:ascii="宋体" w:hAnsi="宋体"/>
              </w:rPr>
            </w:pPr>
            <w:r>
              <w:rPr>
                <w:rFonts w:ascii="宋体" w:hAnsi="宋体" w:hint="eastAsia"/>
              </w:rPr>
              <w:t>泄</w:t>
            </w:r>
          </w:p>
          <w:p w:rsidR="004566C8" w:rsidRDefault="004566C8" w:rsidP="0090435F">
            <w:pPr>
              <w:spacing w:line="248" w:lineRule="exact"/>
              <w:jc w:val="center"/>
              <w:rPr>
                <w:rFonts w:ascii="宋体" w:hAnsi="宋体"/>
              </w:rPr>
            </w:pPr>
            <w:r>
              <w:rPr>
                <w:rFonts w:ascii="宋体" w:hAnsi="宋体" w:hint="eastAsia"/>
              </w:rPr>
              <w:t>漏</w:t>
            </w:r>
          </w:p>
          <w:p w:rsidR="004566C8" w:rsidRDefault="004566C8" w:rsidP="0090435F">
            <w:pPr>
              <w:spacing w:line="248" w:lineRule="exact"/>
              <w:jc w:val="center"/>
              <w:rPr>
                <w:rFonts w:ascii="宋体" w:hAnsi="宋体"/>
              </w:rPr>
            </w:pPr>
            <w:r>
              <w:rPr>
                <w:rFonts w:ascii="宋体" w:hAnsi="宋体" w:hint="eastAsia"/>
              </w:rPr>
              <w:t>处</w:t>
            </w:r>
          </w:p>
          <w:p w:rsidR="004566C8" w:rsidRDefault="004566C8" w:rsidP="0090435F">
            <w:pPr>
              <w:spacing w:line="248"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4566C8" w:rsidRDefault="004566C8" w:rsidP="0090435F">
            <w:pPr>
              <w:spacing w:line="248"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4566C8" w:rsidTr="0090435F">
        <w:trPr>
          <w:cantSplit/>
          <w:jc w:val="center"/>
        </w:trPr>
        <w:tc>
          <w:tcPr>
            <w:tcW w:w="489" w:type="dxa"/>
            <w:tcBorders>
              <w:top w:val="single" w:sz="4" w:space="0" w:color="auto"/>
              <w:left w:val="single" w:sz="4" w:space="0" w:color="auto"/>
              <w:right w:val="single" w:sz="4" w:space="0" w:color="auto"/>
            </w:tcBorders>
            <w:vAlign w:val="center"/>
          </w:tcPr>
          <w:p w:rsidR="004566C8" w:rsidRDefault="004566C8" w:rsidP="0090435F">
            <w:pPr>
              <w:spacing w:line="248" w:lineRule="exact"/>
              <w:jc w:val="center"/>
              <w:rPr>
                <w:rFonts w:ascii="宋体" w:hAnsi="宋体"/>
              </w:rPr>
            </w:pPr>
            <w:r>
              <w:rPr>
                <w:rFonts w:ascii="宋体" w:hAnsi="宋体" w:hint="eastAsia"/>
              </w:rPr>
              <w:t>储</w:t>
            </w:r>
          </w:p>
          <w:p w:rsidR="004566C8" w:rsidRDefault="004566C8" w:rsidP="0090435F">
            <w:pPr>
              <w:spacing w:line="248"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4566C8" w:rsidRDefault="004566C8" w:rsidP="0090435F">
            <w:pPr>
              <w:spacing w:line="248" w:lineRule="exact"/>
              <w:rPr>
                <w:rFonts w:ascii="宋体" w:hAnsi="宋体"/>
                <w:szCs w:val="18"/>
              </w:rPr>
            </w:pPr>
            <w:r>
              <w:rPr>
                <w:rFonts w:ascii="宋体" w:hAnsi="宋体" w:hint="eastAsia"/>
                <w:szCs w:val="18"/>
              </w:rPr>
              <w:t>储存于阴凉、通风的库房。远离火种、热源。库温不宜超过30℃。包装要求密封，不可与空气接触。应与氧化剂、酸类、碱类分开存放，切忌混储。不宜大量储存或久存。采用防爆型照明、通风设施。禁止使用易产生火花的机械设备和工具。储区应备有泄漏应急处理设备和合适的收容材料。</w:t>
            </w:r>
          </w:p>
          <w:p w:rsidR="004566C8" w:rsidRDefault="004566C8" w:rsidP="0090435F">
            <w:pPr>
              <w:spacing w:line="248" w:lineRule="exact"/>
              <w:rPr>
                <w:rFonts w:ascii="宋体" w:hAnsi="宋体"/>
                <w:szCs w:val="18"/>
              </w:rPr>
            </w:pPr>
            <w:r>
              <w:rPr>
                <w:rFonts w:ascii="宋体" w:hAnsi="宋体" w:hint="eastAsia"/>
                <w:szCs w:val="18"/>
              </w:rPr>
              <w:t>铁路运输时应严格按照铁道部《危险货物运输规则》中的危险货物配装表进行配装。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6C8"/>
    <w:rsid w:val="004566C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61DB-0492-4D3F-B17D-22055967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4566C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566C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1585</Characters>
  <Application>Microsoft Office Word</Application>
  <DocSecurity>0</DocSecurity>
  <Lines>13</Lines>
  <Paragraphs>3</Paragraphs>
  <ScaleCrop>false</ScaleCrop>
  <Company>zyhq</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